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33" w:rsidRDefault="00473933" w:rsidP="00473933">
      <w:pPr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Методические указания к выполнению рефератов</w:t>
      </w:r>
    </w:p>
    <w:p w:rsidR="00473933" w:rsidRDefault="00473933" w:rsidP="00473933">
      <w:pPr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(курсовых работ)</w:t>
      </w:r>
    </w:p>
    <w:p w:rsidR="00473933" w:rsidRDefault="00473933" w:rsidP="00473933">
      <w:pPr>
        <w:spacing w:line="360" w:lineRule="auto"/>
        <w:jc w:val="center"/>
        <w:rPr>
          <w:b/>
          <w:sz w:val="24"/>
          <w:szCs w:val="32"/>
        </w:rPr>
      </w:pPr>
    </w:p>
    <w:p w:rsidR="00473933" w:rsidRDefault="00473933" w:rsidP="00473933">
      <w:pPr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Выбор темы</w:t>
      </w:r>
    </w:p>
    <w:p w:rsidR="00473933" w:rsidRDefault="00473933" w:rsidP="00473933">
      <w:pPr>
        <w:spacing w:line="360" w:lineRule="auto"/>
        <w:jc w:val="center"/>
        <w:rPr>
          <w:b/>
          <w:sz w:val="24"/>
          <w:szCs w:val="32"/>
        </w:rPr>
      </w:pPr>
    </w:p>
    <w:p w:rsidR="00473933" w:rsidRDefault="00473933" w:rsidP="00E248A8">
      <w:pPr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>Курсовая работа (реферат) должна быть написана студентом под руководством преподавателя кафедры самостоятельно. Тему своей курсовой работы (реферата) студент выбирает из предлагаемого перечня. Студент может также предложить, по согласованию с руководителем, свою тему.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>Руководители курсовых работ (рефератов) регулярно проводят консультации. Очень важной является первая консультация, когда студентов знакомят с методикой работы, подбором литературы и составлением плана. Вся подготовительная работа (подбор литературы, согласование плана с руководителем и т.д.) должна быть окончена не позднее двух месяцев до срока сдачи курсовой работы (реферата). На одной из консультаций студент обязательно представляет руководителю план курсовой работы (реферата) и список литературы для согласования.</w:t>
      </w:r>
    </w:p>
    <w:p w:rsidR="00473933" w:rsidRDefault="00473933" w:rsidP="00473933">
      <w:pPr>
        <w:tabs>
          <w:tab w:val="left" w:pos="3460"/>
        </w:tabs>
        <w:spacing w:line="360" w:lineRule="auto"/>
        <w:jc w:val="both"/>
        <w:rPr>
          <w:sz w:val="24"/>
          <w:szCs w:val="32"/>
        </w:rPr>
      </w:pP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Составление плана курсовой работы и сбор материала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bookmarkStart w:id="0" w:name="_GoBack"/>
      <w:bookmarkEnd w:id="0"/>
      <w:r>
        <w:rPr>
          <w:sz w:val="24"/>
          <w:szCs w:val="32"/>
        </w:rPr>
        <w:t>План определяет основное содержание работы, дает общую ориентацию в материале темы, обеспечивает последовательность изложения и правильный подбор материала. Текст работы нужно делить на части (разделы) в соответствии с планом. Каждый раздел работы в тексте должен быть озаглавлен.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 xml:space="preserve">Для составления плана необходимо ознакомиться с основными литературными и другими источниками. Подбор литературы (монографий, статей в журналах, статистические сборники и др.) проводится по каталогам (в </w:t>
      </w:r>
      <w:proofErr w:type="spellStart"/>
      <w:r>
        <w:rPr>
          <w:sz w:val="24"/>
          <w:szCs w:val="32"/>
        </w:rPr>
        <w:t>т.ч</w:t>
      </w:r>
      <w:proofErr w:type="spellEnd"/>
      <w:r>
        <w:rPr>
          <w:sz w:val="24"/>
          <w:szCs w:val="32"/>
        </w:rPr>
        <w:t>. компьютерным) в публичных библиотеках и библиотеке Академии. Кроме того, используются материалы Интернета и других электронных источников. Желательно использовать литературу на иностранных языках, включая периодические издания. Рекомендуется обращаться к ежегодникам и другим статистическим изданиям ООН и международных экономических организаций. Обязательно использование законодательных актов и других нормативных материалов Российской Федерации.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proofErr w:type="gramStart"/>
      <w:r>
        <w:rPr>
          <w:sz w:val="24"/>
          <w:szCs w:val="32"/>
        </w:rPr>
        <w:t>Нормативные материалы (законы, постановления и т.д.) печатаются в официальных изданиях («Собрание законодательства Российской Федерации», «Российская газета», «Вестник Банка России»), а также в других изданиях, содержаться в компьютерных системах «Гарант» и «Консультант».</w:t>
      </w:r>
      <w:proofErr w:type="gramEnd"/>
    </w:p>
    <w:p w:rsidR="00473933" w:rsidRDefault="00473933" w:rsidP="00473933">
      <w:pPr>
        <w:tabs>
          <w:tab w:val="left" w:pos="3460"/>
        </w:tabs>
        <w:spacing w:line="360" w:lineRule="auto"/>
        <w:jc w:val="both"/>
        <w:rPr>
          <w:sz w:val="24"/>
          <w:szCs w:val="32"/>
        </w:rPr>
      </w:pP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Оформление работы</w:t>
      </w: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 xml:space="preserve">Курсовая работа (реферат) должна быть напечатана на компьютере через 1,5 интервала. Сокращения слов, </w:t>
      </w:r>
      <w:proofErr w:type="gramStart"/>
      <w:r>
        <w:rPr>
          <w:sz w:val="24"/>
          <w:szCs w:val="32"/>
        </w:rPr>
        <w:t>кроме</w:t>
      </w:r>
      <w:proofErr w:type="gramEnd"/>
      <w:r>
        <w:rPr>
          <w:sz w:val="24"/>
          <w:szCs w:val="32"/>
        </w:rPr>
        <w:t xml:space="preserve"> общепринятых, не допускаются.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 xml:space="preserve">Страницы текста должны быть пронумерованы. Объем работы рекомендуется в пределах 1 </w:t>
      </w:r>
      <w:proofErr w:type="spellStart"/>
      <w:r>
        <w:rPr>
          <w:sz w:val="24"/>
          <w:szCs w:val="32"/>
        </w:rPr>
        <w:t>п.л</w:t>
      </w:r>
      <w:proofErr w:type="spellEnd"/>
      <w:r>
        <w:rPr>
          <w:sz w:val="24"/>
          <w:szCs w:val="32"/>
        </w:rPr>
        <w:t>. (24 стр. на компьютере). Значительное превышение установленного объема является недостатком работы и указывает на то, что студент не сумел отобрать и переработать нужный материал.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>К тексту должен быть приложен пронумерованный иллюстративный материал (схемы, диаграммы, таблицы и др.), а также список использованных литературы и источников. В тексте обязательно должны быть ссылки на литературные и статистические источники, лучше всего в подстрочных примечаниях.</w:t>
      </w:r>
    </w:p>
    <w:p w:rsidR="00473933" w:rsidRDefault="00473933" w:rsidP="00473933">
      <w:pPr>
        <w:tabs>
          <w:tab w:val="left" w:pos="3460"/>
        </w:tabs>
        <w:spacing w:line="360" w:lineRule="auto"/>
        <w:jc w:val="both"/>
        <w:rPr>
          <w:sz w:val="24"/>
          <w:szCs w:val="32"/>
        </w:rPr>
      </w:pP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Каждая курсовая работа (реферат) должна иметь:</w:t>
      </w: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</w:p>
    <w:p w:rsidR="00473933" w:rsidRDefault="00473933" w:rsidP="00473933">
      <w:pPr>
        <w:numPr>
          <w:ilvl w:val="0"/>
          <w:numId w:val="1"/>
        </w:numPr>
        <w:tabs>
          <w:tab w:val="left" w:pos="3460"/>
        </w:tabs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>Титульный лист.</w:t>
      </w:r>
    </w:p>
    <w:p w:rsidR="00473933" w:rsidRDefault="00473933" w:rsidP="00473933">
      <w:pPr>
        <w:numPr>
          <w:ilvl w:val="0"/>
          <w:numId w:val="1"/>
        </w:numPr>
        <w:tabs>
          <w:tab w:val="left" w:pos="3460"/>
        </w:tabs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>План.</w:t>
      </w:r>
    </w:p>
    <w:p w:rsidR="00473933" w:rsidRDefault="00473933" w:rsidP="00473933">
      <w:pPr>
        <w:numPr>
          <w:ilvl w:val="0"/>
          <w:numId w:val="1"/>
        </w:numPr>
        <w:tabs>
          <w:tab w:val="left" w:pos="3460"/>
        </w:tabs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>Введение, текстовое изложение материала, разбитое на главы (разделы) с заголовками, соответствующими плану, и заключение.</w:t>
      </w:r>
    </w:p>
    <w:p w:rsidR="00473933" w:rsidRDefault="00473933" w:rsidP="00473933">
      <w:pPr>
        <w:numPr>
          <w:ilvl w:val="0"/>
          <w:numId w:val="1"/>
        </w:numPr>
        <w:tabs>
          <w:tab w:val="left" w:pos="3460"/>
        </w:tabs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>Иллюстративный материал (в тексте или в виде приложения).</w:t>
      </w:r>
    </w:p>
    <w:p w:rsidR="00473933" w:rsidRDefault="00473933" w:rsidP="00473933">
      <w:pPr>
        <w:numPr>
          <w:ilvl w:val="0"/>
          <w:numId w:val="1"/>
        </w:numPr>
        <w:tabs>
          <w:tab w:val="left" w:pos="3460"/>
        </w:tabs>
        <w:spacing w:line="360" w:lineRule="auto"/>
        <w:jc w:val="both"/>
        <w:rPr>
          <w:sz w:val="24"/>
          <w:szCs w:val="32"/>
        </w:rPr>
      </w:pPr>
      <w:r>
        <w:rPr>
          <w:sz w:val="24"/>
          <w:szCs w:val="32"/>
        </w:rPr>
        <w:t>Список использованных источников литературы.</w:t>
      </w:r>
    </w:p>
    <w:p w:rsidR="00473933" w:rsidRDefault="00473933" w:rsidP="00473933">
      <w:pPr>
        <w:tabs>
          <w:tab w:val="left" w:pos="3460"/>
        </w:tabs>
        <w:spacing w:line="360" w:lineRule="auto"/>
        <w:ind w:left="705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    </w:t>
      </w:r>
    </w:p>
    <w:p w:rsidR="00E248A8" w:rsidRDefault="00473933" w:rsidP="00473933">
      <w:pPr>
        <w:tabs>
          <w:tab w:val="left" w:pos="3460"/>
        </w:tabs>
        <w:spacing w:line="360" w:lineRule="auto"/>
        <w:ind w:left="705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    Титульный лист оформляется по следующему обязательному образцу:</w:t>
      </w:r>
    </w:p>
    <w:p w:rsidR="00E248A8" w:rsidRDefault="00E248A8">
      <w:pPr>
        <w:spacing w:after="200" w:line="276" w:lineRule="auto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:rsidR="00E248A8" w:rsidRPr="00A40FEE" w:rsidRDefault="00E248A8" w:rsidP="00E248A8">
      <w:pPr>
        <w:spacing w:line="360" w:lineRule="auto"/>
        <w:jc w:val="center"/>
        <w:rPr>
          <w:sz w:val="28"/>
          <w:szCs w:val="28"/>
        </w:rPr>
      </w:pPr>
      <w:r w:rsidRPr="00A40FEE">
        <w:rPr>
          <w:sz w:val="28"/>
          <w:szCs w:val="28"/>
        </w:rPr>
        <w:lastRenderedPageBreak/>
        <w:t>МИНИСТЕРСТВО ОБРАЗОВАНИЯ РОССИЙСКОЙ ФЕДЕРАЦИИ</w:t>
      </w:r>
    </w:p>
    <w:p w:rsidR="00E248A8" w:rsidRPr="00A40FEE" w:rsidRDefault="00E248A8" w:rsidP="00E248A8">
      <w:pPr>
        <w:spacing w:line="360" w:lineRule="auto"/>
        <w:jc w:val="center"/>
        <w:rPr>
          <w:sz w:val="28"/>
          <w:szCs w:val="28"/>
        </w:rPr>
      </w:pPr>
      <w:r w:rsidRPr="00A40FEE">
        <w:rPr>
          <w:sz w:val="28"/>
          <w:szCs w:val="28"/>
        </w:rPr>
        <w:t>(ОУП) АКАДЕМИЯ ТРУДА И СОЦИАЛЬНЫХ ОТНОШЕНИЙ</w:t>
      </w:r>
    </w:p>
    <w:p w:rsidR="00E248A8" w:rsidRPr="00A40FEE" w:rsidRDefault="00E248A8" w:rsidP="00E248A8">
      <w:pPr>
        <w:spacing w:line="360" w:lineRule="auto"/>
        <w:jc w:val="center"/>
        <w:rPr>
          <w:sz w:val="28"/>
          <w:szCs w:val="28"/>
        </w:rPr>
      </w:pPr>
      <w:r w:rsidRPr="00A40FEE">
        <w:rPr>
          <w:sz w:val="28"/>
          <w:szCs w:val="28"/>
        </w:rPr>
        <w:t>ИНСТИТУТ ЭКОНОМИКИ И ПРАВА</w:t>
      </w: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  <w:r w:rsidRPr="00A40FEE">
        <w:rPr>
          <w:sz w:val="28"/>
          <w:szCs w:val="28"/>
        </w:rPr>
        <w:t>Кафедра «Экономики и менеджмента»</w:t>
      </w: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  <w:r w:rsidRPr="00A40FEE">
        <w:rPr>
          <w:sz w:val="28"/>
          <w:szCs w:val="28"/>
        </w:rPr>
        <w:t>КУРСОВАЯ РАБОТА</w:t>
      </w: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  <w:r w:rsidRPr="00A40FEE">
        <w:rPr>
          <w:sz w:val="28"/>
          <w:szCs w:val="28"/>
        </w:rPr>
        <w:t>по дисциплине «Банковский менеджмент»</w:t>
      </w: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  <w:r w:rsidRPr="00A40FEE">
        <w:rPr>
          <w:sz w:val="28"/>
          <w:szCs w:val="28"/>
        </w:rPr>
        <w:t>на тему «Особенности кадрового менеджмента в коммерческом банке»</w:t>
      </w: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</w:p>
    <w:p w:rsidR="00E248A8" w:rsidRPr="00A40FEE" w:rsidRDefault="00E248A8" w:rsidP="00E248A8">
      <w:pPr>
        <w:spacing w:line="360" w:lineRule="auto"/>
        <w:ind w:firstLine="709"/>
        <w:jc w:val="right"/>
        <w:rPr>
          <w:sz w:val="28"/>
          <w:szCs w:val="28"/>
        </w:rPr>
      </w:pPr>
      <w:r w:rsidRPr="00A40FEE">
        <w:rPr>
          <w:sz w:val="28"/>
          <w:szCs w:val="28"/>
        </w:rPr>
        <w:t>Выполнил:</w:t>
      </w:r>
    </w:p>
    <w:p w:rsidR="00E248A8" w:rsidRPr="00A40FEE" w:rsidRDefault="00E248A8" w:rsidP="00E248A8">
      <w:pPr>
        <w:spacing w:line="360" w:lineRule="auto"/>
        <w:ind w:firstLine="709"/>
        <w:jc w:val="right"/>
        <w:rPr>
          <w:sz w:val="28"/>
          <w:szCs w:val="28"/>
        </w:rPr>
      </w:pPr>
      <w:r w:rsidRPr="00A40FEE">
        <w:rPr>
          <w:sz w:val="28"/>
          <w:szCs w:val="28"/>
        </w:rPr>
        <w:t>студент гр. 4ЭДБ</w:t>
      </w:r>
    </w:p>
    <w:p w:rsidR="00E248A8" w:rsidRPr="00A40FEE" w:rsidRDefault="00E248A8" w:rsidP="00E248A8">
      <w:pPr>
        <w:spacing w:line="360" w:lineRule="auto"/>
        <w:ind w:firstLine="709"/>
        <w:jc w:val="right"/>
        <w:rPr>
          <w:sz w:val="28"/>
          <w:szCs w:val="28"/>
        </w:rPr>
      </w:pPr>
      <w:r w:rsidRPr="00A40FEE">
        <w:rPr>
          <w:sz w:val="28"/>
          <w:szCs w:val="28"/>
        </w:rPr>
        <w:t>Павленко И. А.</w:t>
      </w:r>
    </w:p>
    <w:p w:rsidR="00E248A8" w:rsidRPr="00A40FEE" w:rsidRDefault="00E248A8" w:rsidP="00E248A8">
      <w:pPr>
        <w:spacing w:line="360" w:lineRule="auto"/>
        <w:ind w:firstLine="709"/>
        <w:jc w:val="right"/>
        <w:rPr>
          <w:sz w:val="28"/>
          <w:szCs w:val="28"/>
        </w:rPr>
      </w:pPr>
      <w:r w:rsidRPr="00A40FEE">
        <w:rPr>
          <w:sz w:val="28"/>
          <w:szCs w:val="28"/>
        </w:rPr>
        <w:t>Проверила</w:t>
      </w:r>
    </w:p>
    <w:p w:rsidR="00E248A8" w:rsidRPr="00A40FEE" w:rsidRDefault="00E248A8" w:rsidP="00E248A8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A40FEE">
        <w:rPr>
          <w:sz w:val="28"/>
          <w:szCs w:val="28"/>
        </w:rPr>
        <w:t>ст.пр</w:t>
      </w:r>
      <w:proofErr w:type="gramStart"/>
      <w:r w:rsidRPr="00A40FEE">
        <w:rPr>
          <w:sz w:val="28"/>
          <w:szCs w:val="28"/>
        </w:rPr>
        <w:t>.А</w:t>
      </w:r>
      <w:proofErr w:type="gramEnd"/>
      <w:r w:rsidRPr="00A40FEE">
        <w:rPr>
          <w:sz w:val="28"/>
          <w:szCs w:val="28"/>
        </w:rPr>
        <w:t>нистратенко</w:t>
      </w:r>
      <w:proofErr w:type="spellEnd"/>
      <w:r w:rsidRPr="00A40FEE">
        <w:rPr>
          <w:sz w:val="28"/>
          <w:szCs w:val="28"/>
        </w:rPr>
        <w:t xml:space="preserve"> О.В.</w:t>
      </w:r>
    </w:p>
    <w:p w:rsidR="00E248A8" w:rsidRPr="00A40FEE" w:rsidRDefault="00E248A8" w:rsidP="00E248A8">
      <w:pPr>
        <w:spacing w:line="360" w:lineRule="auto"/>
        <w:ind w:firstLine="709"/>
        <w:jc w:val="right"/>
        <w:rPr>
          <w:sz w:val="28"/>
          <w:szCs w:val="28"/>
        </w:rPr>
      </w:pP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</w:p>
    <w:p w:rsidR="00E248A8" w:rsidRPr="00A40FEE" w:rsidRDefault="00E248A8" w:rsidP="00E248A8">
      <w:pPr>
        <w:spacing w:line="360" w:lineRule="auto"/>
        <w:ind w:firstLine="709"/>
        <w:jc w:val="center"/>
        <w:rPr>
          <w:sz w:val="28"/>
          <w:szCs w:val="28"/>
        </w:rPr>
      </w:pPr>
    </w:p>
    <w:p w:rsidR="00E248A8" w:rsidRPr="00A40FEE" w:rsidRDefault="00E248A8" w:rsidP="00E248A8">
      <w:pPr>
        <w:ind w:firstLine="709"/>
        <w:jc w:val="center"/>
        <w:rPr>
          <w:sz w:val="28"/>
          <w:szCs w:val="28"/>
        </w:rPr>
      </w:pPr>
      <w:r w:rsidRPr="00A40FEE">
        <w:rPr>
          <w:sz w:val="28"/>
          <w:szCs w:val="28"/>
        </w:rPr>
        <w:t>Севастополь</w:t>
      </w:r>
    </w:p>
    <w:p w:rsidR="00473933" w:rsidRDefault="00E248A8" w:rsidP="00E248A8">
      <w:pPr>
        <w:tabs>
          <w:tab w:val="left" w:pos="3460"/>
        </w:tabs>
        <w:spacing w:line="360" w:lineRule="auto"/>
        <w:ind w:left="705"/>
        <w:jc w:val="center"/>
        <w:rPr>
          <w:sz w:val="24"/>
          <w:szCs w:val="32"/>
        </w:rPr>
      </w:pPr>
      <w:r w:rsidRPr="00A40FEE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473933" w:rsidRDefault="00473933" w:rsidP="00473933">
      <w:pPr>
        <w:tabs>
          <w:tab w:val="left" w:pos="3460"/>
        </w:tabs>
        <w:ind w:left="705"/>
        <w:jc w:val="both"/>
        <w:rPr>
          <w:sz w:val="32"/>
          <w:szCs w:val="32"/>
        </w:rPr>
      </w:pPr>
    </w:p>
    <w:p w:rsidR="00473933" w:rsidRDefault="00473933" w:rsidP="00473933">
      <w:pPr>
        <w:tabs>
          <w:tab w:val="left" w:pos="3460"/>
        </w:tabs>
        <w:ind w:left="705"/>
        <w:jc w:val="both"/>
        <w:rPr>
          <w:sz w:val="32"/>
          <w:szCs w:val="32"/>
        </w:rPr>
      </w:pPr>
    </w:p>
    <w:p w:rsidR="00473933" w:rsidRDefault="00473933" w:rsidP="00473933">
      <w:pPr>
        <w:tabs>
          <w:tab w:val="left" w:pos="3460"/>
        </w:tabs>
        <w:ind w:left="705"/>
        <w:jc w:val="both"/>
        <w:rPr>
          <w:sz w:val="32"/>
          <w:szCs w:val="32"/>
        </w:rPr>
      </w:pP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>При составлении списка литературы в перечень включается только те источники, которые действительно были использованы при подготовке к написанию курсовой работ</w:t>
      </w:r>
      <w:proofErr w:type="gramStart"/>
      <w:r>
        <w:rPr>
          <w:sz w:val="24"/>
          <w:szCs w:val="32"/>
        </w:rPr>
        <w:t>ы</w:t>
      </w:r>
      <w:r w:rsidR="00E248A8">
        <w:rPr>
          <w:sz w:val="24"/>
          <w:szCs w:val="32"/>
        </w:rPr>
        <w:t>(</w:t>
      </w:r>
      <w:proofErr w:type="gramEnd"/>
      <w:r w:rsidR="00E248A8">
        <w:rPr>
          <w:sz w:val="24"/>
          <w:szCs w:val="32"/>
        </w:rPr>
        <w:t>реферата)</w:t>
      </w:r>
      <w:r>
        <w:rPr>
          <w:sz w:val="24"/>
          <w:szCs w:val="32"/>
        </w:rPr>
        <w:t>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 xml:space="preserve">Список использованных источников составляется строго в алфавитном порядке, сначала на русском языке, затем </w:t>
      </w:r>
      <w:proofErr w:type="gramStart"/>
      <w:r>
        <w:rPr>
          <w:sz w:val="24"/>
          <w:szCs w:val="32"/>
        </w:rPr>
        <w:t>на</w:t>
      </w:r>
      <w:proofErr w:type="gramEnd"/>
      <w:r>
        <w:rPr>
          <w:sz w:val="24"/>
          <w:szCs w:val="32"/>
        </w:rPr>
        <w:t xml:space="preserve"> иностранных. Порядок расположения источников и литературы следующий: законы РФ, указы Президента, постановления Правительства, решения министерств и ведомств; печатные работы (книги и статьи); периодика.</w:t>
      </w:r>
    </w:p>
    <w:p w:rsidR="00473933" w:rsidRDefault="00473933" w:rsidP="00473933">
      <w:pPr>
        <w:tabs>
          <w:tab w:val="left" w:pos="3460"/>
        </w:tabs>
        <w:spacing w:line="360" w:lineRule="auto"/>
        <w:ind w:left="705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</w:t>
      </w:r>
    </w:p>
    <w:p w:rsidR="00473933" w:rsidRDefault="00473933" w:rsidP="00473933">
      <w:pPr>
        <w:tabs>
          <w:tab w:val="left" w:pos="3460"/>
        </w:tabs>
        <w:spacing w:line="360" w:lineRule="auto"/>
        <w:ind w:left="705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Образец составления списка литературы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>«О валютном регулировании и валютном контроле». Закон РФ от 9 октября 2003г.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proofErr w:type="spellStart"/>
      <w:r>
        <w:rPr>
          <w:sz w:val="24"/>
          <w:szCs w:val="32"/>
        </w:rPr>
        <w:t>Авдокушин</w:t>
      </w:r>
      <w:proofErr w:type="spellEnd"/>
      <w:r>
        <w:rPr>
          <w:sz w:val="24"/>
          <w:szCs w:val="32"/>
        </w:rPr>
        <w:t xml:space="preserve"> Е.Ф. Международные экономические отношения – Юристъ,1999г.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proofErr w:type="spellStart"/>
      <w:r>
        <w:rPr>
          <w:sz w:val="24"/>
          <w:szCs w:val="32"/>
        </w:rPr>
        <w:t>Кормнов</w:t>
      </w:r>
      <w:proofErr w:type="spellEnd"/>
      <w:r>
        <w:rPr>
          <w:sz w:val="24"/>
          <w:szCs w:val="32"/>
        </w:rPr>
        <w:t xml:space="preserve"> Ю. Ориентация экономики на конкурентоспособность // Экономист. – М.: - №1.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Левшин Ф.М. Мировой рынок: </w:t>
      </w:r>
      <w:proofErr w:type="spellStart"/>
      <w:r>
        <w:rPr>
          <w:sz w:val="24"/>
          <w:szCs w:val="32"/>
        </w:rPr>
        <w:t>коньюктура</w:t>
      </w:r>
      <w:proofErr w:type="spellEnd"/>
      <w:r>
        <w:rPr>
          <w:sz w:val="24"/>
          <w:szCs w:val="32"/>
        </w:rPr>
        <w:t>, цены и маркетинг. – М.: Международные отношения, 1993г.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>Киреев А.П. международная экономика. М., «Международные отношения», 2002г.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Международные экономические отношения. </w:t>
      </w:r>
      <w:proofErr w:type="spellStart"/>
      <w:r>
        <w:rPr>
          <w:sz w:val="24"/>
          <w:szCs w:val="32"/>
        </w:rPr>
        <w:t>Учб</w:t>
      </w:r>
      <w:proofErr w:type="spellEnd"/>
      <w:r>
        <w:rPr>
          <w:sz w:val="24"/>
          <w:szCs w:val="32"/>
        </w:rPr>
        <w:t>. Для вузов/под общ</w:t>
      </w:r>
      <w:proofErr w:type="gramStart"/>
      <w:r>
        <w:rPr>
          <w:sz w:val="24"/>
          <w:szCs w:val="32"/>
        </w:rPr>
        <w:t>.</w:t>
      </w:r>
      <w:proofErr w:type="gramEnd"/>
      <w:r>
        <w:rPr>
          <w:sz w:val="24"/>
          <w:szCs w:val="32"/>
        </w:rPr>
        <w:t xml:space="preserve"> </w:t>
      </w:r>
      <w:proofErr w:type="gramStart"/>
      <w:r>
        <w:rPr>
          <w:sz w:val="24"/>
          <w:szCs w:val="32"/>
        </w:rPr>
        <w:t>р</w:t>
      </w:r>
      <w:proofErr w:type="gramEnd"/>
      <w:r>
        <w:rPr>
          <w:sz w:val="24"/>
          <w:szCs w:val="32"/>
        </w:rPr>
        <w:t xml:space="preserve">ед. </w:t>
      </w:r>
      <w:proofErr w:type="spellStart"/>
      <w:r>
        <w:rPr>
          <w:sz w:val="24"/>
          <w:szCs w:val="32"/>
        </w:rPr>
        <w:t>В.Е.Рыбалкина</w:t>
      </w:r>
      <w:proofErr w:type="spellEnd"/>
      <w:r>
        <w:rPr>
          <w:sz w:val="24"/>
          <w:szCs w:val="32"/>
        </w:rPr>
        <w:t>. – М.: ЮНИТИ-ДАНА,1999г.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>Россия: внешнеэкономические связи в условиях перехода к рынку</w:t>
      </w:r>
      <w:proofErr w:type="gramStart"/>
      <w:r>
        <w:rPr>
          <w:sz w:val="24"/>
          <w:szCs w:val="32"/>
        </w:rPr>
        <w:t>.</w:t>
      </w:r>
      <w:proofErr w:type="gramEnd"/>
      <w:r>
        <w:rPr>
          <w:sz w:val="24"/>
          <w:szCs w:val="32"/>
        </w:rPr>
        <w:t xml:space="preserve"> / </w:t>
      </w:r>
      <w:proofErr w:type="gramStart"/>
      <w:r>
        <w:rPr>
          <w:sz w:val="24"/>
          <w:szCs w:val="32"/>
        </w:rPr>
        <w:t>п</w:t>
      </w:r>
      <w:proofErr w:type="gramEnd"/>
      <w:r>
        <w:rPr>
          <w:sz w:val="24"/>
          <w:szCs w:val="32"/>
        </w:rPr>
        <w:t xml:space="preserve">од ред. </w:t>
      </w:r>
      <w:proofErr w:type="spellStart"/>
      <w:r>
        <w:rPr>
          <w:sz w:val="24"/>
          <w:szCs w:val="32"/>
        </w:rPr>
        <w:t>И.П.Фаминского</w:t>
      </w:r>
      <w:proofErr w:type="spellEnd"/>
      <w:r>
        <w:rPr>
          <w:sz w:val="24"/>
          <w:szCs w:val="32"/>
        </w:rPr>
        <w:t>. – М.: Международные отношения, 1993г.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Экономика внешних связей России. </w:t>
      </w:r>
      <w:proofErr w:type="spellStart"/>
      <w:r>
        <w:rPr>
          <w:sz w:val="24"/>
          <w:szCs w:val="32"/>
        </w:rPr>
        <w:t>Учб</w:t>
      </w:r>
      <w:proofErr w:type="spellEnd"/>
      <w:r>
        <w:rPr>
          <w:sz w:val="24"/>
          <w:szCs w:val="32"/>
        </w:rPr>
        <w:t xml:space="preserve">. Для предпринимателя / под ред. </w:t>
      </w:r>
      <w:proofErr w:type="spellStart"/>
      <w:r>
        <w:rPr>
          <w:sz w:val="24"/>
          <w:szCs w:val="32"/>
        </w:rPr>
        <w:t>А.С.Булатова</w:t>
      </w:r>
      <w:proofErr w:type="spellEnd"/>
      <w:r>
        <w:rPr>
          <w:sz w:val="24"/>
          <w:szCs w:val="32"/>
        </w:rPr>
        <w:t>. – М.: БЕК, 1995г.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>Внешняя торговля.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>Мировая экономика и международные отношения.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</w:rPr>
        <w:t>Рынок ценных бумаг.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  <w:lang w:val="en-US"/>
        </w:rPr>
      </w:pPr>
      <w:r>
        <w:rPr>
          <w:sz w:val="24"/>
          <w:szCs w:val="32"/>
        </w:rPr>
        <w:t>Экономика</w:t>
      </w:r>
      <w:r>
        <w:rPr>
          <w:sz w:val="24"/>
          <w:szCs w:val="32"/>
          <w:lang w:val="en-US"/>
        </w:rPr>
        <w:t xml:space="preserve"> </w:t>
      </w:r>
      <w:r>
        <w:rPr>
          <w:sz w:val="24"/>
          <w:szCs w:val="32"/>
        </w:rPr>
        <w:t>и</w:t>
      </w:r>
      <w:r>
        <w:rPr>
          <w:sz w:val="24"/>
          <w:szCs w:val="32"/>
          <w:lang w:val="en-US"/>
        </w:rPr>
        <w:t xml:space="preserve"> </w:t>
      </w:r>
      <w:r>
        <w:rPr>
          <w:sz w:val="24"/>
          <w:szCs w:val="32"/>
        </w:rPr>
        <w:t>жизнь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  <w:lang w:val="en-US"/>
        </w:rPr>
      </w:pPr>
      <w:proofErr w:type="spellStart"/>
      <w:r>
        <w:rPr>
          <w:sz w:val="24"/>
          <w:szCs w:val="32"/>
          <w:lang w:val="en-US"/>
        </w:rPr>
        <w:t>Lindert</w:t>
      </w:r>
      <w:proofErr w:type="spellEnd"/>
      <w:r>
        <w:rPr>
          <w:sz w:val="24"/>
          <w:szCs w:val="32"/>
          <w:lang w:val="en-US"/>
        </w:rPr>
        <w:t xml:space="preserve"> P.H., </w:t>
      </w:r>
      <w:proofErr w:type="spellStart"/>
      <w:r>
        <w:rPr>
          <w:sz w:val="24"/>
          <w:szCs w:val="32"/>
          <w:lang w:val="en-US"/>
        </w:rPr>
        <w:t>Pugel</w:t>
      </w:r>
      <w:proofErr w:type="spellEnd"/>
      <w:r>
        <w:rPr>
          <w:sz w:val="24"/>
          <w:szCs w:val="32"/>
          <w:lang w:val="en-US"/>
        </w:rPr>
        <w:t xml:space="preserve"> T.F. International </w:t>
      </w:r>
      <w:proofErr w:type="gramStart"/>
      <w:r>
        <w:rPr>
          <w:sz w:val="24"/>
          <w:szCs w:val="32"/>
          <w:lang w:val="en-US"/>
        </w:rPr>
        <w:t>Economics.:</w:t>
      </w:r>
      <w:proofErr w:type="gramEnd"/>
      <w:r>
        <w:rPr>
          <w:sz w:val="24"/>
          <w:szCs w:val="32"/>
          <w:lang w:val="en-US"/>
        </w:rPr>
        <w:t xml:space="preserve"> 10</w:t>
      </w:r>
      <w:r>
        <w:rPr>
          <w:sz w:val="24"/>
          <w:szCs w:val="32"/>
          <w:vertAlign w:val="superscript"/>
          <w:lang w:val="en-US"/>
        </w:rPr>
        <w:t>th</w:t>
      </w:r>
      <w:r>
        <w:rPr>
          <w:sz w:val="24"/>
          <w:szCs w:val="32"/>
          <w:lang w:val="en-US"/>
        </w:rPr>
        <w:t xml:space="preserve"> Ed. –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32"/>
              <w:lang w:val="en-US"/>
            </w:rPr>
            <w:t>Chicago</w:t>
          </w:r>
        </w:smartTag>
      </w:smartTag>
      <w:r>
        <w:rPr>
          <w:sz w:val="24"/>
          <w:szCs w:val="32"/>
          <w:lang w:val="en-US"/>
        </w:rPr>
        <w:t>, etc. Irwin, 1996.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 xml:space="preserve">The World Bank Annual </w:t>
      </w:r>
      <w:proofErr w:type="spellStart"/>
      <w:r>
        <w:rPr>
          <w:sz w:val="24"/>
          <w:szCs w:val="32"/>
          <w:lang w:val="en-US"/>
        </w:rPr>
        <w:t>Repon</w:t>
      </w:r>
      <w:proofErr w:type="spellEnd"/>
      <w:r>
        <w:rPr>
          <w:sz w:val="24"/>
          <w:szCs w:val="32"/>
          <w:lang w:val="en-US"/>
        </w:rPr>
        <w:t xml:space="preserve"> 2003. –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32"/>
              <w:lang w:val="en-US"/>
            </w:rPr>
            <w:t>Wash.</w:t>
          </w:r>
        </w:smartTag>
      </w:smartTag>
      <w:r>
        <w:rPr>
          <w:sz w:val="24"/>
          <w:szCs w:val="32"/>
          <w:lang w:val="en-US"/>
        </w:rPr>
        <w:t>, D.C.: The World Bank, 2003.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 xml:space="preserve">World Economic Outlook. October, 2003. –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32"/>
              <w:lang w:val="en-US"/>
            </w:rPr>
            <w:t>Wash.</w:t>
          </w:r>
        </w:smartTag>
      </w:smartTag>
      <w:r>
        <w:rPr>
          <w:sz w:val="24"/>
          <w:szCs w:val="32"/>
          <w:lang w:val="en-US"/>
        </w:rPr>
        <w:t>: IMF, 2003.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 xml:space="preserve">International Financial Statistics. -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32"/>
              <w:lang w:val="en-US"/>
            </w:rPr>
            <w:t>Wash.</w:t>
          </w:r>
        </w:smartTag>
      </w:smartTag>
      <w:r>
        <w:rPr>
          <w:sz w:val="24"/>
          <w:szCs w:val="32"/>
          <w:lang w:val="en-US"/>
        </w:rPr>
        <w:t xml:space="preserve"> 2002.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The Economist.</w:t>
      </w:r>
    </w:p>
    <w:p w:rsidR="00473933" w:rsidRDefault="00473933" w:rsidP="00473933">
      <w:pPr>
        <w:numPr>
          <w:ilvl w:val="0"/>
          <w:numId w:val="2"/>
        </w:numPr>
        <w:tabs>
          <w:tab w:val="clear" w:pos="1800"/>
          <w:tab w:val="num" w:pos="1110"/>
          <w:tab w:val="left" w:pos="3460"/>
        </w:tabs>
        <w:spacing w:line="360" w:lineRule="auto"/>
        <w:ind w:left="1110"/>
        <w:jc w:val="both"/>
        <w:rPr>
          <w:sz w:val="24"/>
          <w:szCs w:val="32"/>
        </w:rPr>
      </w:pPr>
      <w:r>
        <w:rPr>
          <w:sz w:val="24"/>
          <w:szCs w:val="32"/>
          <w:lang w:val="en-US"/>
        </w:rPr>
        <w:t>The Financial Times. L</w:t>
      </w:r>
      <w:r>
        <w:rPr>
          <w:sz w:val="24"/>
          <w:szCs w:val="32"/>
        </w:rPr>
        <w:t>.</w:t>
      </w:r>
    </w:p>
    <w:p w:rsidR="00473933" w:rsidRDefault="00473933" w:rsidP="00473933">
      <w:pPr>
        <w:tabs>
          <w:tab w:val="left" w:pos="3460"/>
        </w:tabs>
        <w:spacing w:line="360" w:lineRule="auto"/>
        <w:ind w:left="15"/>
        <w:jc w:val="both"/>
        <w:rPr>
          <w:sz w:val="24"/>
          <w:szCs w:val="32"/>
        </w:rPr>
      </w:pPr>
    </w:p>
    <w:p w:rsidR="00473933" w:rsidRDefault="00473933" w:rsidP="00E248A8">
      <w:pPr>
        <w:tabs>
          <w:tab w:val="left" w:pos="3460"/>
        </w:tabs>
        <w:spacing w:line="360" w:lineRule="auto"/>
        <w:ind w:left="15" w:firstLine="552"/>
        <w:rPr>
          <w:sz w:val="24"/>
          <w:szCs w:val="32"/>
        </w:rPr>
      </w:pPr>
      <w:r>
        <w:rPr>
          <w:sz w:val="24"/>
          <w:szCs w:val="32"/>
        </w:rPr>
        <w:t>Для электронных источников указываются сайт Интернета и названия компакт-дисков с использованными материалами.</w:t>
      </w:r>
    </w:p>
    <w:p w:rsidR="00473933" w:rsidRDefault="00473933" w:rsidP="00E248A8">
      <w:pPr>
        <w:tabs>
          <w:tab w:val="left" w:pos="3460"/>
        </w:tabs>
        <w:spacing w:line="360" w:lineRule="auto"/>
        <w:ind w:left="15" w:firstLine="552"/>
        <w:rPr>
          <w:sz w:val="24"/>
          <w:szCs w:val="32"/>
        </w:rPr>
      </w:pPr>
      <w:r>
        <w:rPr>
          <w:sz w:val="24"/>
          <w:szCs w:val="32"/>
        </w:rPr>
        <w:t>Под использованием источников и литературы понимается следующее:</w:t>
      </w:r>
    </w:p>
    <w:p w:rsidR="00473933" w:rsidRDefault="00473933" w:rsidP="00473933">
      <w:pPr>
        <w:numPr>
          <w:ilvl w:val="0"/>
          <w:numId w:val="3"/>
        </w:numPr>
        <w:tabs>
          <w:tab w:val="clear" w:pos="1770"/>
          <w:tab w:val="num" w:pos="1080"/>
          <w:tab w:val="left" w:pos="3460"/>
        </w:tabs>
        <w:spacing w:line="360" w:lineRule="auto"/>
        <w:ind w:left="1080"/>
        <w:jc w:val="both"/>
        <w:rPr>
          <w:sz w:val="24"/>
          <w:szCs w:val="32"/>
        </w:rPr>
      </w:pPr>
      <w:r>
        <w:rPr>
          <w:sz w:val="24"/>
          <w:szCs w:val="32"/>
        </w:rPr>
        <w:t>Точное цитирование.</w:t>
      </w:r>
    </w:p>
    <w:p w:rsidR="00473933" w:rsidRDefault="00473933" w:rsidP="00473933">
      <w:pPr>
        <w:numPr>
          <w:ilvl w:val="0"/>
          <w:numId w:val="3"/>
        </w:numPr>
        <w:tabs>
          <w:tab w:val="clear" w:pos="1770"/>
          <w:tab w:val="num" w:pos="1080"/>
          <w:tab w:val="left" w:pos="3460"/>
        </w:tabs>
        <w:spacing w:line="360" w:lineRule="auto"/>
        <w:ind w:left="1080"/>
        <w:jc w:val="both"/>
        <w:rPr>
          <w:sz w:val="24"/>
          <w:szCs w:val="32"/>
        </w:rPr>
      </w:pPr>
      <w:r>
        <w:rPr>
          <w:sz w:val="24"/>
          <w:szCs w:val="32"/>
        </w:rPr>
        <w:t>Использование мысли автора цитируемого источника, однако сама мысль выражается словами автора курсовой работы.</w:t>
      </w:r>
    </w:p>
    <w:p w:rsidR="00473933" w:rsidRDefault="00473933" w:rsidP="00473933">
      <w:pPr>
        <w:numPr>
          <w:ilvl w:val="0"/>
          <w:numId w:val="3"/>
        </w:numPr>
        <w:tabs>
          <w:tab w:val="clear" w:pos="1770"/>
          <w:tab w:val="num" w:pos="1080"/>
          <w:tab w:val="left" w:pos="3460"/>
        </w:tabs>
        <w:spacing w:line="360" w:lineRule="auto"/>
        <w:ind w:left="1080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>Указание на ознакомление с источниками и литературой без прямого заимствования.</w:t>
      </w:r>
    </w:p>
    <w:p w:rsidR="00473933" w:rsidRDefault="00473933" w:rsidP="00473933">
      <w:pPr>
        <w:tabs>
          <w:tab w:val="left" w:pos="3460"/>
        </w:tabs>
        <w:spacing w:line="360" w:lineRule="auto"/>
        <w:jc w:val="both"/>
        <w:rPr>
          <w:sz w:val="24"/>
          <w:szCs w:val="32"/>
        </w:rPr>
      </w:pP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Образец цитирования в подстрочных примечаниях</w:t>
      </w: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</w:p>
    <w:p w:rsidR="00473933" w:rsidRDefault="00473933" w:rsidP="00473933">
      <w:pPr>
        <w:numPr>
          <w:ilvl w:val="0"/>
          <w:numId w:val="4"/>
        </w:numPr>
        <w:tabs>
          <w:tab w:val="clear" w:pos="1080"/>
          <w:tab w:val="num" w:pos="390"/>
          <w:tab w:val="left" w:pos="3460"/>
        </w:tabs>
        <w:spacing w:line="360" w:lineRule="auto"/>
        <w:ind w:left="390"/>
        <w:jc w:val="both"/>
        <w:rPr>
          <w:sz w:val="24"/>
          <w:szCs w:val="32"/>
        </w:rPr>
      </w:pPr>
      <w:r>
        <w:rPr>
          <w:sz w:val="24"/>
          <w:szCs w:val="32"/>
        </w:rPr>
        <w:t>«О валютном регулировании и валютном контроле. Закон РФ от 9 октября, 2003г.» // Валютные операции: Сборник законодательных актов и инструкций. – М.: 2004г.</w:t>
      </w:r>
    </w:p>
    <w:p w:rsidR="00473933" w:rsidRDefault="00473933" w:rsidP="00473933">
      <w:pPr>
        <w:numPr>
          <w:ilvl w:val="0"/>
          <w:numId w:val="4"/>
        </w:numPr>
        <w:tabs>
          <w:tab w:val="clear" w:pos="1080"/>
          <w:tab w:val="num" w:pos="390"/>
          <w:tab w:val="left" w:pos="3460"/>
        </w:tabs>
        <w:spacing w:line="360" w:lineRule="auto"/>
        <w:ind w:left="390"/>
        <w:jc w:val="both"/>
        <w:rPr>
          <w:sz w:val="24"/>
          <w:szCs w:val="32"/>
        </w:rPr>
      </w:pPr>
      <w:r>
        <w:rPr>
          <w:sz w:val="24"/>
          <w:szCs w:val="32"/>
        </w:rPr>
        <w:t>Захаров В.С. Регулирование деятельности коммерческих банков России и их ликвидностью. // Деньги и кредит. – 1996. - №6. – С. 10.</w:t>
      </w:r>
    </w:p>
    <w:p w:rsidR="00473933" w:rsidRDefault="00473933" w:rsidP="00473933">
      <w:pPr>
        <w:numPr>
          <w:ilvl w:val="0"/>
          <w:numId w:val="4"/>
        </w:numPr>
        <w:tabs>
          <w:tab w:val="clear" w:pos="1080"/>
          <w:tab w:val="num" w:pos="390"/>
          <w:tab w:val="left" w:pos="3460"/>
        </w:tabs>
        <w:spacing w:line="360" w:lineRule="auto"/>
        <w:ind w:left="390"/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European Banking: A View to 2005/ - L.: Gemini, EFMA. – P12.</w:t>
      </w:r>
    </w:p>
    <w:p w:rsidR="00473933" w:rsidRDefault="00473933" w:rsidP="00473933">
      <w:pPr>
        <w:numPr>
          <w:ilvl w:val="0"/>
          <w:numId w:val="4"/>
        </w:numPr>
        <w:tabs>
          <w:tab w:val="clear" w:pos="1080"/>
          <w:tab w:val="num" w:pos="390"/>
          <w:tab w:val="left" w:pos="3460"/>
        </w:tabs>
        <w:spacing w:line="360" w:lineRule="auto"/>
        <w:ind w:left="390"/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Meier K. Money, Banking and Financial Markets: Second Edition. L.: The Dryden Press. 1993. – P.217.</w:t>
      </w:r>
    </w:p>
    <w:p w:rsidR="00473933" w:rsidRDefault="00473933" w:rsidP="00473933">
      <w:pPr>
        <w:numPr>
          <w:ilvl w:val="0"/>
          <w:numId w:val="4"/>
        </w:numPr>
        <w:tabs>
          <w:tab w:val="clear" w:pos="1080"/>
          <w:tab w:val="num" w:pos="390"/>
          <w:tab w:val="left" w:pos="3460"/>
        </w:tabs>
        <w:spacing w:line="360" w:lineRule="auto"/>
        <w:ind w:left="390"/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The Banker. – 1999. – April. – P.12.</w:t>
      </w:r>
    </w:p>
    <w:p w:rsidR="00473933" w:rsidRDefault="00473933" w:rsidP="00473933">
      <w:pPr>
        <w:numPr>
          <w:ilvl w:val="0"/>
          <w:numId w:val="4"/>
        </w:numPr>
        <w:tabs>
          <w:tab w:val="clear" w:pos="1080"/>
          <w:tab w:val="num" w:pos="390"/>
          <w:tab w:val="left" w:pos="3460"/>
        </w:tabs>
        <w:spacing w:line="360" w:lineRule="auto"/>
        <w:ind w:left="390"/>
        <w:jc w:val="both"/>
        <w:rPr>
          <w:sz w:val="24"/>
          <w:szCs w:val="32"/>
          <w:lang w:val="en-US"/>
        </w:rPr>
      </w:pPr>
      <w:r>
        <w:rPr>
          <w:sz w:val="24"/>
          <w:szCs w:val="32"/>
          <w:lang w:val="en-US"/>
        </w:rPr>
        <w:t>The Economist. 12.12.99. – P.6.</w:t>
      </w:r>
    </w:p>
    <w:p w:rsidR="00473933" w:rsidRDefault="00473933" w:rsidP="00473933">
      <w:pPr>
        <w:numPr>
          <w:ilvl w:val="0"/>
          <w:numId w:val="4"/>
        </w:numPr>
        <w:tabs>
          <w:tab w:val="clear" w:pos="1080"/>
          <w:tab w:val="num" w:pos="390"/>
          <w:tab w:val="left" w:pos="3460"/>
        </w:tabs>
        <w:spacing w:line="360" w:lineRule="auto"/>
        <w:ind w:left="390"/>
        <w:jc w:val="both"/>
        <w:rPr>
          <w:sz w:val="24"/>
          <w:szCs w:val="32"/>
        </w:rPr>
      </w:pPr>
      <w:r>
        <w:rPr>
          <w:sz w:val="24"/>
          <w:szCs w:val="32"/>
          <w:lang w:val="en-US"/>
        </w:rPr>
        <w:t xml:space="preserve">The Financial Times. </w:t>
      </w:r>
      <w:r>
        <w:rPr>
          <w:sz w:val="24"/>
          <w:szCs w:val="32"/>
        </w:rPr>
        <w:t xml:space="preserve">22.11.99. – </w:t>
      </w:r>
      <w:r>
        <w:rPr>
          <w:sz w:val="24"/>
          <w:szCs w:val="32"/>
          <w:lang w:val="en-US"/>
        </w:rPr>
        <w:t>P</w:t>
      </w:r>
      <w:r>
        <w:rPr>
          <w:sz w:val="24"/>
          <w:szCs w:val="32"/>
        </w:rPr>
        <w:t>.6.</w:t>
      </w:r>
    </w:p>
    <w:p w:rsidR="00473933" w:rsidRDefault="00473933" w:rsidP="00473933">
      <w:pPr>
        <w:numPr>
          <w:ilvl w:val="0"/>
          <w:numId w:val="4"/>
        </w:numPr>
        <w:tabs>
          <w:tab w:val="clear" w:pos="1080"/>
          <w:tab w:val="num" w:pos="390"/>
          <w:tab w:val="left" w:pos="3460"/>
        </w:tabs>
        <w:spacing w:line="360" w:lineRule="auto"/>
        <w:ind w:left="390"/>
        <w:jc w:val="both"/>
        <w:rPr>
          <w:sz w:val="24"/>
          <w:szCs w:val="32"/>
        </w:rPr>
      </w:pPr>
      <w:r>
        <w:rPr>
          <w:sz w:val="24"/>
          <w:szCs w:val="32"/>
        </w:rPr>
        <w:t>См. Вестник Банка России. 2003. - №30.</w:t>
      </w: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</w:p>
    <w:p w:rsidR="00473933" w:rsidRDefault="00473933" w:rsidP="00473933">
      <w:pPr>
        <w:tabs>
          <w:tab w:val="left" w:pos="3460"/>
        </w:tabs>
        <w:spacing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Защита и оценка курсовых работ (рефератов)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>Студент обязан сдать курсовую работу на кафедру, для регистрации в соответствующем журнале. Сроки сдачи устанавливаются кафедрой.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>В соответствии с установленными правилами курсовая работа оценивается на «отлично», «хорошо», «удовлетворительно», «неудовлетворительно». Эта оценка складывается из а) предварительной оценки, которую преподаватель выставляет после прочтения работы и написания отзыва на курсовую работу и б) итогов защиты работы.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>Реферат оценивается по системе «зачтено» - «</w:t>
      </w:r>
      <w:proofErr w:type="spellStart"/>
      <w:r>
        <w:rPr>
          <w:sz w:val="24"/>
          <w:szCs w:val="32"/>
        </w:rPr>
        <w:t>незачтено</w:t>
      </w:r>
      <w:proofErr w:type="spellEnd"/>
      <w:r>
        <w:rPr>
          <w:sz w:val="24"/>
          <w:szCs w:val="32"/>
        </w:rPr>
        <w:t>».</w:t>
      </w:r>
    </w:p>
    <w:p w:rsidR="00473933" w:rsidRDefault="00473933" w:rsidP="00E248A8">
      <w:pPr>
        <w:tabs>
          <w:tab w:val="left" w:pos="3460"/>
        </w:tabs>
        <w:spacing w:line="360" w:lineRule="auto"/>
        <w:ind w:firstLine="567"/>
        <w:rPr>
          <w:sz w:val="24"/>
          <w:szCs w:val="32"/>
        </w:rPr>
      </w:pPr>
      <w:r>
        <w:rPr>
          <w:sz w:val="24"/>
          <w:szCs w:val="32"/>
        </w:rPr>
        <w:t>Защита курсовой работы предполагает краткое изложение студентом основных положений и выводов, ответы на вопросы, беседу по содержанию работы или по источникам и литературе.</w:t>
      </w:r>
    </w:p>
    <w:p w:rsidR="005939D7" w:rsidRDefault="00473933" w:rsidP="00E248A8">
      <w:pPr>
        <w:tabs>
          <w:tab w:val="left" w:pos="3460"/>
        </w:tabs>
        <w:spacing w:line="360" w:lineRule="auto"/>
        <w:ind w:firstLine="567"/>
      </w:pPr>
      <w:r>
        <w:rPr>
          <w:sz w:val="24"/>
          <w:szCs w:val="32"/>
        </w:rPr>
        <w:t xml:space="preserve">Положительная оценка записывается в зачетную книжку, а по окончании Академии – в приложении к диплому. Если курсовая работа не соответствует предъявленным требованиям или оценена как неудовлетворительная, то она возвращается студенту, который должен написать </w:t>
      </w:r>
      <w:proofErr w:type="gramStart"/>
      <w:r>
        <w:rPr>
          <w:sz w:val="24"/>
          <w:szCs w:val="32"/>
        </w:rPr>
        <w:t>курсовую</w:t>
      </w:r>
      <w:proofErr w:type="gramEnd"/>
      <w:r>
        <w:rPr>
          <w:sz w:val="24"/>
          <w:szCs w:val="32"/>
        </w:rPr>
        <w:t xml:space="preserve"> по новой теме.</w:t>
      </w:r>
    </w:p>
    <w:sectPr w:rsidR="0059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D83"/>
    <w:multiLevelType w:val="hybridMultilevel"/>
    <w:tmpl w:val="5C4C5E16"/>
    <w:lvl w:ilvl="0" w:tplc="9B4E983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83249B"/>
    <w:multiLevelType w:val="hybridMultilevel"/>
    <w:tmpl w:val="366AF8D6"/>
    <w:lvl w:ilvl="0" w:tplc="264EC6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9677258"/>
    <w:multiLevelType w:val="hybridMultilevel"/>
    <w:tmpl w:val="76702776"/>
    <w:lvl w:ilvl="0" w:tplc="83EECA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7AE169B6"/>
    <w:multiLevelType w:val="hybridMultilevel"/>
    <w:tmpl w:val="C304E470"/>
    <w:lvl w:ilvl="0" w:tplc="394EF07E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33"/>
    <w:rsid w:val="00045F1D"/>
    <w:rsid w:val="0006049A"/>
    <w:rsid w:val="00134319"/>
    <w:rsid w:val="00154E2E"/>
    <w:rsid w:val="00171106"/>
    <w:rsid w:val="00181F09"/>
    <w:rsid w:val="001D4660"/>
    <w:rsid w:val="001D5ACB"/>
    <w:rsid w:val="002212FA"/>
    <w:rsid w:val="0022462C"/>
    <w:rsid w:val="002A4E11"/>
    <w:rsid w:val="002C168D"/>
    <w:rsid w:val="00325823"/>
    <w:rsid w:val="003A4236"/>
    <w:rsid w:val="003C73E7"/>
    <w:rsid w:val="003D0311"/>
    <w:rsid w:val="003D0F4A"/>
    <w:rsid w:val="003E5AC3"/>
    <w:rsid w:val="003E7A9F"/>
    <w:rsid w:val="003F4554"/>
    <w:rsid w:val="00467391"/>
    <w:rsid w:val="00473933"/>
    <w:rsid w:val="0047580A"/>
    <w:rsid w:val="004B30E6"/>
    <w:rsid w:val="004C06C4"/>
    <w:rsid w:val="004E797C"/>
    <w:rsid w:val="004F52CC"/>
    <w:rsid w:val="00521C42"/>
    <w:rsid w:val="005939D7"/>
    <w:rsid w:val="005A5347"/>
    <w:rsid w:val="005A6BE3"/>
    <w:rsid w:val="005B2479"/>
    <w:rsid w:val="005C794B"/>
    <w:rsid w:val="005E10FD"/>
    <w:rsid w:val="005F4256"/>
    <w:rsid w:val="00613188"/>
    <w:rsid w:val="0068107A"/>
    <w:rsid w:val="006C11BA"/>
    <w:rsid w:val="006D2D85"/>
    <w:rsid w:val="00770060"/>
    <w:rsid w:val="007C7DF5"/>
    <w:rsid w:val="007F13F4"/>
    <w:rsid w:val="007F55EA"/>
    <w:rsid w:val="007F798E"/>
    <w:rsid w:val="008925AD"/>
    <w:rsid w:val="00910562"/>
    <w:rsid w:val="00955E37"/>
    <w:rsid w:val="00960042"/>
    <w:rsid w:val="00962895"/>
    <w:rsid w:val="009723C1"/>
    <w:rsid w:val="00986B7E"/>
    <w:rsid w:val="00A30264"/>
    <w:rsid w:val="00A36F5B"/>
    <w:rsid w:val="00A85284"/>
    <w:rsid w:val="00AB1E7F"/>
    <w:rsid w:val="00AD67DB"/>
    <w:rsid w:val="00AF293D"/>
    <w:rsid w:val="00B326D5"/>
    <w:rsid w:val="00B3492F"/>
    <w:rsid w:val="00B50AF8"/>
    <w:rsid w:val="00B90EFD"/>
    <w:rsid w:val="00BA6F7D"/>
    <w:rsid w:val="00BC65F0"/>
    <w:rsid w:val="00BE4E44"/>
    <w:rsid w:val="00C4224F"/>
    <w:rsid w:val="00C66EA5"/>
    <w:rsid w:val="00CA0371"/>
    <w:rsid w:val="00CC12A2"/>
    <w:rsid w:val="00D21161"/>
    <w:rsid w:val="00D6363F"/>
    <w:rsid w:val="00D66DE3"/>
    <w:rsid w:val="00D8371C"/>
    <w:rsid w:val="00D85910"/>
    <w:rsid w:val="00DA514E"/>
    <w:rsid w:val="00DA515E"/>
    <w:rsid w:val="00DD3F67"/>
    <w:rsid w:val="00DE1DE9"/>
    <w:rsid w:val="00DF5109"/>
    <w:rsid w:val="00DF5D4A"/>
    <w:rsid w:val="00E017FE"/>
    <w:rsid w:val="00E248A8"/>
    <w:rsid w:val="00E5333F"/>
    <w:rsid w:val="00E76E2B"/>
    <w:rsid w:val="00ED2E0E"/>
    <w:rsid w:val="00EE0047"/>
    <w:rsid w:val="00F14F66"/>
    <w:rsid w:val="00F2033A"/>
    <w:rsid w:val="00F24497"/>
    <w:rsid w:val="00F54C5E"/>
    <w:rsid w:val="00F628D0"/>
    <w:rsid w:val="00FC1378"/>
    <w:rsid w:val="00FF6CC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оглавления"/>
    <w:link w:val="a0"/>
    <w:qFormat/>
    <w:rsid w:val="0047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7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E7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7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E7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E7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E7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E7F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E7F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E7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0">
    <w:name w:val="Для оглавления Знак"/>
    <w:basedOn w:val="a1"/>
    <w:rsid w:val="00AB1E7F"/>
    <w:rPr>
      <w:rFonts w:ascii="Times New Roman" w:hAnsi="Times New Roman" w:cs="Times New Roman"/>
      <w:b/>
      <w:color w:val="000000"/>
      <w:sz w:val="28"/>
    </w:rPr>
  </w:style>
  <w:style w:type="paragraph" w:styleId="21">
    <w:name w:val="toc 2"/>
    <w:basedOn w:val="a"/>
    <w:next w:val="a"/>
    <w:autoRedefine/>
    <w:uiPriority w:val="39"/>
    <w:unhideWhenUsed/>
    <w:rsid w:val="00EE0047"/>
    <w:pPr>
      <w:spacing w:after="100" w:line="259" w:lineRule="auto"/>
      <w:ind w:left="220"/>
    </w:pPr>
    <w:rPr>
      <w:rFonts w:cstheme="minorBidi"/>
      <w:b/>
    </w:rPr>
  </w:style>
  <w:style w:type="character" w:customStyle="1" w:styleId="10">
    <w:name w:val="Заголовок 1 Знак"/>
    <w:basedOn w:val="a1"/>
    <w:link w:val="1"/>
    <w:uiPriority w:val="9"/>
    <w:rsid w:val="00AB1E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AB1E7F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1E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B1E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B1E7F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B1E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AB1E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B1E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B1E7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1E7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B1E7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1E7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AB1E7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B1E7F"/>
    <w:rPr>
      <w:b/>
      <w:bCs/>
    </w:rPr>
  </w:style>
  <w:style w:type="character" w:styleId="a9">
    <w:name w:val="Emphasis"/>
    <w:uiPriority w:val="20"/>
    <w:qFormat/>
    <w:rsid w:val="00AB1E7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B1E7F"/>
  </w:style>
  <w:style w:type="paragraph" w:styleId="ab">
    <w:name w:val="List Paragraph"/>
    <w:basedOn w:val="a"/>
    <w:uiPriority w:val="34"/>
    <w:qFormat/>
    <w:rsid w:val="00AB1E7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E7F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AB1E7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B1E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AB1E7F"/>
    <w:rPr>
      <w:i/>
      <w:iCs/>
    </w:rPr>
  </w:style>
  <w:style w:type="character" w:styleId="ae">
    <w:name w:val="Subtle Emphasis"/>
    <w:uiPriority w:val="19"/>
    <w:qFormat/>
    <w:rsid w:val="00AB1E7F"/>
    <w:rPr>
      <w:i/>
      <w:iCs/>
    </w:rPr>
  </w:style>
  <w:style w:type="character" w:styleId="af">
    <w:name w:val="Intense Emphasis"/>
    <w:uiPriority w:val="21"/>
    <w:qFormat/>
    <w:rsid w:val="00AB1E7F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AB1E7F"/>
    <w:rPr>
      <w:smallCaps/>
    </w:rPr>
  </w:style>
  <w:style w:type="character" w:styleId="af1">
    <w:name w:val="Intense Reference"/>
    <w:uiPriority w:val="32"/>
    <w:qFormat/>
    <w:rsid w:val="00AB1E7F"/>
    <w:rPr>
      <w:b/>
      <w:bCs/>
      <w:smallCaps/>
    </w:rPr>
  </w:style>
  <w:style w:type="character" w:styleId="af2">
    <w:name w:val="Book Title"/>
    <w:basedOn w:val="a1"/>
    <w:uiPriority w:val="33"/>
    <w:qFormat/>
    <w:rsid w:val="00AB1E7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1E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оглавления"/>
    <w:link w:val="a0"/>
    <w:qFormat/>
    <w:rsid w:val="0047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7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E7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7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E7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E7F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E7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E7F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E7F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E7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0">
    <w:name w:val="Для оглавления Знак"/>
    <w:basedOn w:val="a1"/>
    <w:rsid w:val="00AB1E7F"/>
    <w:rPr>
      <w:rFonts w:ascii="Times New Roman" w:hAnsi="Times New Roman" w:cs="Times New Roman"/>
      <w:b/>
      <w:color w:val="000000"/>
      <w:sz w:val="28"/>
    </w:rPr>
  </w:style>
  <w:style w:type="paragraph" w:styleId="21">
    <w:name w:val="toc 2"/>
    <w:basedOn w:val="a"/>
    <w:next w:val="a"/>
    <w:autoRedefine/>
    <w:uiPriority w:val="39"/>
    <w:unhideWhenUsed/>
    <w:rsid w:val="00EE0047"/>
    <w:pPr>
      <w:spacing w:after="100" w:line="259" w:lineRule="auto"/>
      <w:ind w:left="220"/>
    </w:pPr>
    <w:rPr>
      <w:rFonts w:cstheme="minorBidi"/>
      <w:b/>
    </w:rPr>
  </w:style>
  <w:style w:type="character" w:customStyle="1" w:styleId="10">
    <w:name w:val="Заголовок 1 Знак"/>
    <w:basedOn w:val="a1"/>
    <w:link w:val="1"/>
    <w:uiPriority w:val="9"/>
    <w:rsid w:val="00AB1E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AB1E7F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1E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B1E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B1E7F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B1E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AB1E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B1E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B1E7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1E7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B1E7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1E7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AB1E7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B1E7F"/>
    <w:rPr>
      <w:b/>
      <w:bCs/>
    </w:rPr>
  </w:style>
  <w:style w:type="character" w:styleId="a9">
    <w:name w:val="Emphasis"/>
    <w:uiPriority w:val="20"/>
    <w:qFormat/>
    <w:rsid w:val="00AB1E7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B1E7F"/>
  </w:style>
  <w:style w:type="paragraph" w:styleId="ab">
    <w:name w:val="List Paragraph"/>
    <w:basedOn w:val="a"/>
    <w:uiPriority w:val="34"/>
    <w:qFormat/>
    <w:rsid w:val="00AB1E7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E7F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AB1E7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B1E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AB1E7F"/>
    <w:rPr>
      <w:i/>
      <w:iCs/>
    </w:rPr>
  </w:style>
  <w:style w:type="character" w:styleId="ae">
    <w:name w:val="Subtle Emphasis"/>
    <w:uiPriority w:val="19"/>
    <w:qFormat/>
    <w:rsid w:val="00AB1E7F"/>
    <w:rPr>
      <w:i/>
      <w:iCs/>
    </w:rPr>
  </w:style>
  <w:style w:type="character" w:styleId="af">
    <w:name w:val="Intense Emphasis"/>
    <w:uiPriority w:val="21"/>
    <w:qFormat/>
    <w:rsid w:val="00AB1E7F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AB1E7F"/>
    <w:rPr>
      <w:smallCaps/>
    </w:rPr>
  </w:style>
  <w:style w:type="character" w:styleId="af1">
    <w:name w:val="Intense Reference"/>
    <w:uiPriority w:val="32"/>
    <w:qFormat/>
    <w:rsid w:val="00AB1E7F"/>
    <w:rPr>
      <w:b/>
      <w:bCs/>
      <w:smallCaps/>
    </w:rPr>
  </w:style>
  <w:style w:type="character" w:styleId="af2">
    <w:name w:val="Book Title"/>
    <w:basedOn w:val="a1"/>
    <w:uiPriority w:val="33"/>
    <w:qFormat/>
    <w:rsid w:val="00AB1E7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1E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2016-01-20T10:14:00Z</dcterms:created>
  <dcterms:modified xsi:type="dcterms:W3CDTF">2016-01-20T10:21:00Z</dcterms:modified>
</cp:coreProperties>
</file>